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F08B" w14:textId="2E5ABA35" w:rsidR="00E41658" w:rsidRPr="00273280" w:rsidRDefault="00E41658" w:rsidP="00E41658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Hlk514061252"/>
      <w:r w:rsidRPr="00273280">
        <w:rPr>
          <w:rFonts w:ascii="Arial" w:eastAsia="MS Mincho" w:hAnsi="Arial" w:cs="Arial"/>
          <w:b/>
          <w:sz w:val="24"/>
          <w:szCs w:val="24"/>
        </w:rPr>
        <w:t>3GPP TSG-RAN WG4 Meeting # 105</w:t>
      </w:r>
      <w:r w:rsidRPr="0027328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CA4A74" w:rsidRPr="00CA4A74">
        <w:rPr>
          <w:rFonts w:ascii="Arial" w:eastAsia="MS Mincho" w:hAnsi="Arial" w:cs="Arial"/>
          <w:b/>
          <w:sz w:val="24"/>
          <w:szCs w:val="24"/>
        </w:rPr>
        <w:t>R4-2220</w:t>
      </w:r>
      <w:r w:rsidR="00F56B93">
        <w:rPr>
          <w:rFonts w:ascii="Arial" w:eastAsia="MS Mincho" w:hAnsi="Arial" w:cs="Arial"/>
          <w:b/>
          <w:sz w:val="24"/>
          <w:szCs w:val="24"/>
        </w:rPr>
        <w:t>819</w:t>
      </w:r>
    </w:p>
    <w:p w14:paraId="7FE1B5B8" w14:textId="77777777" w:rsidR="00E41658" w:rsidRDefault="00E41658" w:rsidP="00E41658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 w:rsidRPr="00273280">
        <w:rPr>
          <w:rFonts w:ascii="Arial" w:eastAsia="MS Mincho" w:hAnsi="Arial" w:cs="Arial"/>
          <w:b/>
          <w:sz w:val="24"/>
          <w:szCs w:val="24"/>
        </w:rPr>
        <w:t>Toulouse, France, November 14 – November 18, 2022</w:t>
      </w:r>
    </w:p>
    <w:p w14:paraId="11056103" w14:textId="77777777" w:rsidR="00E41658" w:rsidRPr="00823EBF" w:rsidRDefault="00E41658" w:rsidP="00E41658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16676BA9" w14:textId="77777777" w:rsidR="00E41658" w:rsidRPr="00823EBF" w:rsidRDefault="00E41658" w:rsidP="00E4165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>5.2</w:t>
      </w:r>
    </w:p>
    <w:p w14:paraId="1899F562" w14:textId="77777777" w:rsidR="00E41658" w:rsidRPr="00823EBF" w:rsidRDefault="00E41658" w:rsidP="00E4165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/>
          <w:bCs/>
          <w:noProof/>
          <w:sz w:val="24"/>
        </w:rPr>
        <w:t>Qualcomm Incorporated</w:t>
      </w:r>
    </w:p>
    <w:p w14:paraId="656772E9" w14:textId="466808BD" w:rsidR="00E41658" w:rsidRPr="00823EBF" w:rsidRDefault="00E41658" w:rsidP="00E41658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DA0008" w:rsidRPr="00DA0008">
        <w:rPr>
          <w:rFonts w:ascii="Arial" w:hAnsi="Arial" w:cs="Arial"/>
          <w:bCs/>
          <w:noProof/>
          <w:sz w:val="24"/>
          <w:szCs w:val="24"/>
        </w:rPr>
        <w:t xml:space="preserve">WF on </w:t>
      </w:r>
      <w:r w:rsidR="00CD2B7E">
        <w:rPr>
          <w:rFonts w:ascii="Arial" w:hAnsi="Arial" w:cs="Arial"/>
          <w:bCs/>
          <w:noProof/>
          <w:sz w:val="24"/>
          <w:szCs w:val="24"/>
        </w:rPr>
        <w:t>n</w:t>
      </w:r>
      <w:r w:rsidR="00DA0008" w:rsidRPr="00DA0008">
        <w:rPr>
          <w:rFonts w:ascii="Arial" w:hAnsi="Arial" w:cs="Arial"/>
          <w:bCs/>
          <w:noProof/>
          <w:sz w:val="24"/>
          <w:szCs w:val="24"/>
        </w:rPr>
        <w:t>ew IEs for maximum aggregated BW for intra-band CA and for inter-band CA for FR1</w:t>
      </w:r>
    </w:p>
    <w:bookmarkEnd w:id="0"/>
    <w:p w14:paraId="4CB04B55" w14:textId="77777777" w:rsidR="00E41658" w:rsidRPr="00823EBF" w:rsidRDefault="00E41658" w:rsidP="00E4165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2528F6D8" w14:textId="1146C6B4" w:rsidR="00034644" w:rsidRPr="00B41C9A" w:rsidRDefault="00CA5E80" w:rsidP="00B41C9A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1E5D84C3" w14:textId="77777777" w:rsidR="00B41C9A" w:rsidRDefault="00B41C9A" w:rsidP="00B41C9A">
      <w:pPr>
        <w:pStyle w:val="Header"/>
        <w:spacing w:after="120"/>
        <w:jc w:val="both"/>
        <w:rPr>
          <w:rFonts w:eastAsiaTheme="minorEastAsia"/>
          <w:bCs/>
          <w:lang w:eastAsia="ko-KR"/>
        </w:rPr>
      </w:pPr>
      <w:r w:rsidRPr="00F14B31">
        <w:rPr>
          <w:rFonts w:eastAsiaTheme="minorEastAsia"/>
          <w:bCs/>
          <w:lang w:eastAsia="ko-KR"/>
        </w:rPr>
        <w:t xml:space="preserve">RAN4 </w:t>
      </w:r>
      <w:r>
        <w:rPr>
          <w:rFonts w:eastAsiaTheme="minorEastAsia"/>
          <w:bCs/>
          <w:lang w:eastAsia="ko-KR"/>
        </w:rPr>
        <w:t>discussed the issue that UE might not be able to support all the possible CBW in some band combinations due to the RF and/or baseband limitation. To solve this issue, the following two options were considered:</w:t>
      </w:r>
    </w:p>
    <w:p w14:paraId="04BAEF01" w14:textId="77777777" w:rsidR="00B41C9A" w:rsidRDefault="00B41C9A" w:rsidP="00B41C9A">
      <w:pPr>
        <w:pStyle w:val="ListParagraph"/>
        <w:numPr>
          <w:ilvl w:val="0"/>
          <w:numId w:val="2"/>
        </w:numPr>
        <w:ind w:firstLineChars="0"/>
        <w:jc w:val="both"/>
      </w:pPr>
      <w:r>
        <w:t xml:space="preserve">Option 1: Indicate </w:t>
      </w:r>
      <w:r w:rsidRPr="00303932">
        <w:t>multiple feature sets</w:t>
      </w:r>
      <w:r>
        <w:t xml:space="preserve"> by UE</w:t>
      </w:r>
      <w:r w:rsidRPr="00303932">
        <w:t xml:space="preserve"> </w:t>
      </w:r>
      <w:r>
        <w:t xml:space="preserve">to </w:t>
      </w:r>
      <w:r w:rsidRPr="00303932">
        <w:t xml:space="preserve">cover all possible CBW aggregation below the supported </w:t>
      </w:r>
      <w:r>
        <w:t>maximum</w:t>
      </w:r>
      <w:r w:rsidRPr="00303932">
        <w:t xml:space="preserve"> limit</w:t>
      </w:r>
      <w:r>
        <w:t xml:space="preserve"> of CBW</w:t>
      </w:r>
      <w:r w:rsidRPr="00303932">
        <w:t>.</w:t>
      </w:r>
    </w:p>
    <w:p w14:paraId="126FBBC1" w14:textId="77777777" w:rsidR="00B41C9A" w:rsidRPr="00835807" w:rsidRDefault="00B41C9A" w:rsidP="00B41C9A">
      <w:pPr>
        <w:pStyle w:val="ListParagraph"/>
        <w:numPr>
          <w:ilvl w:val="0"/>
          <w:numId w:val="2"/>
        </w:numPr>
        <w:ind w:firstLineChars="0"/>
        <w:jc w:val="both"/>
      </w:pPr>
      <w:r>
        <w:t>Option 2: Introduce a new IE which indicates the maximum aggregated CBW that UE supports.</w:t>
      </w:r>
    </w:p>
    <w:p w14:paraId="63828C0A" w14:textId="77777777" w:rsidR="00B41C9A" w:rsidRDefault="00B41C9A" w:rsidP="00B41C9A">
      <w:pPr>
        <w:pStyle w:val="Header"/>
        <w:spacing w:after="120"/>
        <w:jc w:val="both"/>
        <w:rPr>
          <w:lang w:eastAsia="ko-KR"/>
        </w:rPr>
      </w:pPr>
      <w:r>
        <w:rPr>
          <w:lang w:eastAsia="ko-KR"/>
        </w:rPr>
        <w:t>The</w:t>
      </w:r>
      <w:r w:rsidRPr="00190821">
        <w:rPr>
          <w:lang w:eastAsia="ko-KR"/>
        </w:rPr>
        <w:t xml:space="preserve"> </w:t>
      </w:r>
      <w:r>
        <w:rPr>
          <w:lang w:eastAsia="ko-KR"/>
        </w:rPr>
        <w:t xml:space="preserve">approach of using multiple feature sets, i.e., option 1, can be used to indicate the possible supported CBW without specification change, but it might lead to a high signalling overhead. </w:t>
      </w:r>
    </w:p>
    <w:p w14:paraId="662578B7" w14:textId="1B03C70A" w:rsidR="00AE34B8" w:rsidRPr="00AE34B8" w:rsidRDefault="00E768F9" w:rsidP="00AE34B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Way forward</w:t>
      </w:r>
    </w:p>
    <w:p w14:paraId="21D4BE43" w14:textId="6669481E" w:rsidR="00EB373C" w:rsidRPr="007073E7" w:rsidRDefault="00CA5E80" w:rsidP="00B41C9A">
      <w:pPr>
        <w:pStyle w:val="Header"/>
        <w:spacing w:after="120"/>
        <w:jc w:val="both"/>
      </w:pPr>
      <w:r w:rsidRPr="005C1C3F">
        <w:rPr>
          <w:rFonts w:cs="Arial"/>
          <w:szCs w:val="18"/>
        </w:rPr>
        <w:t xml:space="preserve">RAN4 </w:t>
      </w:r>
      <w:r>
        <w:rPr>
          <w:rFonts w:cs="Arial"/>
          <w:szCs w:val="18"/>
        </w:rPr>
        <w:t xml:space="preserve">to </w:t>
      </w:r>
      <w:r w:rsidR="008E217C">
        <w:rPr>
          <w:rFonts w:cs="Arial"/>
          <w:szCs w:val="18"/>
        </w:rPr>
        <w:t xml:space="preserve">further study </w:t>
      </w:r>
      <w:r w:rsidR="007073E7">
        <w:rPr>
          <w:rFonts w:cs="Arial"/>
          <w:szCs w:val="18"/>
        </w:rPr>
        <w:t>whether</w:t>
      </w:r>
      <w:r w:rsidR="00ED6D77">
        <w:rPr>
          <w:rFonts w:cs="Arial"/>
          <w:szCs w:val="18"/>
        </w:rPr>
        <w:t xml:space="preserve"> </w:t>
      </w:r>
      <w:r w:rsidR="007073E7">
        <w:t>to introduce</w:t>
      </w:r>
      <w:r w:rsidR="00211166">
        <w:t xml:space="preserve"> a</w:t>
      </w:r>
      <w:r>
        <w:t xml:space="preserve"> new IE for inter-band CA </w:t>
      </w:r>
      <w:r w:rsidR="007073E7">
        <w:t xml:space="preserve">for signalling overhead reduction </w:t>
      </w:r>
      <w:r>
        <w:t>with the following characteristics:</w:t>
      </w:r>
    </w:p>
    <w:p w14:paraId="3E57EB4D" w14:textId="25B7C9E2" w:rsidR="00B41C9A" w:rsidRPr="00127B74" w:rsidRDefault="00B41C9A" w:rsidP="00B41C9A">
      <w:pPr>
        <w:pStyle w:val="Header"/>
        <w:spacing w:after="120"/>
        <w:jc w:val="both"/>
      </w:pPr>
      <w:r w:rsidRPr="00127B74">
        <w:t xml:space="preserve">For inter-band CA, the new IE </w:t>
      </w:r>
      <w:r w:rsidR="00D10218" w:rsidRPr="00127B74">
        <w:t xml:space="preserve">is considered </w:t>
      </w:r>
      <w:r w:rsidRPr="00127B74">
        <w:t>with at least the following characteristics:</w:t>
      </w:r>
    </w:p>
    <w:p w14:paraId="688164E8" w14:textId="77777777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 xml:space="preserve">The new IE is optional for a UE to signal for BCS5. When the IE is not signalled, legacy operation is assumed. </w:t>
      </w:r>
    </w:p>
    <w:p w14:paraId="4708FC03" w14:textId="77777777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The new IE applies to inter-band carrier aggregation. The new IE is applicable to both UL and DL.</w:t>
      </w:r>
    </w:p>
    <w:p w14:paraId="3EB8CFDD" w14:textId="12230C7B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If a band combo has mix of TDD and FDD CCs, there needs to be 2 new separate IEs, one for max TDD aggregated BW and another for max FDD aggregated BW. FFS on the other duplex mode bands.</w:t>
      </w:r>
    </w:p>
    <w:p w14:paraId="071622C1" w14:textId="24602E53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 xml:space="preserve">The IE conveys maximum aggregated bandwidth value for each band combination. FFS on whether to include other baseband capacities, e.g., </w:t>
      </w:r>
      <w:r w:rsidRPr="00127B74">
        <w:rPr>
          <w:lang w:eastAsia="zh-CN"/>
        </w:rPr>
        <w:t xml:space="preserve">the number of </w:t>
      </w:r>
      <w:r w:rsidRPr="00127B74">
        <w:t xml:space="preserve">MIMO layer, </w:t>
      </w:r>
      <w:r w:rsidR="00A37BB4" w:rsidRPr="00127B74">
        <w:t>bandw</w:t>
      </w:r>
      <w:r w:rsidR="00C075CB" w:rsidRPr="00127B74">
        <w:t>i</w:t>
      </w:r>
      <w:r w:rsidR="00A37BB4" w:rsidRPr="00127B74">
        <w:t>d</w:t>
      </w:r>
      <w:r w:rsidR="00C075CB" w:rsidRPr="00127B74">
        <w:t xml:space="preserve">th times MIMO layers, </w:t>
      </w:r>
      <w:r w:rsidRPr="00127B74">
        <w:t>supported SCS, supported modulation order and so on.</w:t>
      </w:r>
    </w:p>
    <w:p w14:paraId="6AA1FB2F" w14:textId="77777777" w:rsidR="00E768F9" w:rsidRDefault="00E768F9" w:rsidP="00B41C9A">
      <w:pPr>
        <w:pStyle w:val="Header"/>
        <w:spacing w:after="120"/>
        <w:jc w:val="both"/>
      </w:pPr>
    </w:p>
    <w:sectPr w:rsidR="00E76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7099A" w14:textId="77777777" w:rsidR="00765FC8" w:rsidRDefault="00765FC8" w:rsidP="00695FF9">
      <w:pPr>
        <w:spacing w:after="0"/>
      </w:pPr>
      <w:r>
        <w:separator/>
      </w:r>
    </w:p>
  </w:endnote>
  <w:endnote w:type="continuationSeparator" w:id="0">
    <w:p w14:paraId="2D18F95C" w14:textId="77777777" w:rsidR="00765FC8" w:rsidRDefault="00765FC8" w:rsidP="00695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D1F9" w14:textId="77777777" w:rsidR="00765FC8" w:rsidRDefault="00765FC8" w:rsidP="00695FF9">
      <w:pPr>
        <w:spacing w:after="0"/>
      </w:pPr>
      <w:r>
        <w:separator/>
      </w:r>
    </w:p>
  </w:footnote>
  <w:footnote w:type="continuationSeparator" w:id="0">
    <w:p w14:paraId="041A946C" w14:textId="77777777" w:rsidR="00765FC8" w:rsidRDefault="00765FC8" w:rsidP="00695F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125726">
    <w:abstractNumId w:val="0"/>
  </w:num>
  <w:num w:numId="2" w16cid:durableId="641543931">
    <w:abstractNumId w:val="1"/>
  </w:num>
  <w:num w:numId="3" w16cid:durableId="1389303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4F6"/>
    <w:rsid w:val="00034644"/>
    <w:rsid w:val="00055BCF"/>
    <w:rsid w:val="000E1830"/>
    <w:rsid w:val="00106059"/>
    <w:rsid w:val="001172EE"/>
    <w:rsid w:val="00127B74"/>
    <w:rsid w:val="001626BB"/>
    <w:rsid w:val="001B1024"/>
    <w:rsid w:val="00211166"/>
    <w:rsid w:val="0024340E"/>
    <w:rsid w:val="002709A0"/>
    <w:rsid w:val="002E66CD"/>
    <w:rsid w:val="003941F6"/>
    <w:rsid w:val="003B32E1"/>
    <w:rsid w:val="00464C56"/>
    <w:rsid w:val="005457C1"/>
    <w:rsid w:val="00580167"/>
    <w:rsid w:val="005E421E"/>
    <w:rsid w:val="005F1BCC"/>
    <w:rsid w:val="00650B75"/>
    <w:rsid w:val="0068621D"/>
    <w:rsid w:val="00695FF9"/>
    <w:rsid w:val="006B696A"/>
    <w:rsid w:val="006D70E3"/>
    <w:rsid w:val="006E68B9"/>
    <w:rsid w:val="007073E7"/>
    <w:rsid w:val="00716C6C"/>
    <w:rsid w:val="00765FC8"/>
    <w:rsid w:val="007B4BE6"/>
    <w:rsid w:val="00864CAA"/>
    <w:rsid w:val="008846FE"/>
    <w:rsid w:val="008E217C"/>
    <w:rsid w:val="009224F6"/>
    <w:rsid w:val="00944E9E"/>
    <w:rsid w:val="00A14BFC"/>
    <w:rsid w:val="00A14E7C"/>
    <w:rsid w:val="00A37BB4"/>
    <w:rsid w:val="00A45254"/>
    <w:rsid w:val="00AB09BB"/>
    <w:rsid w:val="00AD42CC"/>
    <w:rsid w:val="00AE26C2"/>
    <w:rsid w:val="00AE34B8"/>
    <w:rsid w:val="00B41C9A"/>
    <w:rsid w:val="00B673E6"/>
    <w:rsid w:val="00BC788E"/>
    <w:rsid w:val="00C075CB"/>
    <w:rsid w:val="00CA4A74"/>
    <w:rsid w:val="00CA5E80"/>
    <w:rsid w:val="00CD2B7E"/>
    <w:rsid w:val="00D10218"/>
    <w:rsid w:val="00D65065"/>
    <w:rsid w:val="00D80DBF"/>
    <w:rsid w:val="00DA0008"/>
    <w:rsid w:val="00DE3DCD"/>
    <w:rsid w:val="00E01B9E"/>
    <w:rsid w:val="00E1216A"/>
    <w:rsid w:val="00E41658"/>
    <w:rsid w:val="00E4174D"/>
    <w:rsid w:val="00E768F9"/>
    <w:rsid w:val="00E9652C"/>
    <w:rsid w:val="00EB373C"/>
    <w:rsid w:val="00ED6D77"/>
    <w:rsid w:val="00F56B93"/>
    <w:rsid w:val="00F9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B5D01"/>
  <w15:chartTrackingRefBased/>
  <w15:docId w15:val="{9218D357-DBEA-45B7-8CDE-8B7FB892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FF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95FF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95FF9"/>
  </w:style>
  <w:style w:type="paragraph" w:styleId="Footer">
    <w:name w:val="footer"/>
    <w:basedOn w:val="Normal"/>
    <w:link w:val="FooterChar"/>
    <w:uiPriority w:val="99"/>
    <w:unhideWhenUsed/>
    <w:rsid w:val="00695FF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5FF9"/>
  </w:style>
  <w:style w:type="paragraph" w:customStyle="1" w:styleId="TAC">
    <w:name w:val="TAC"/>
    <w:basedOn w:val="Normal"/>
    <w:link w:val="TACChar"/>
    <w:qFormat/>
    <w:rsid w:val="006D70E3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locked/>
    <w:rsid w:val="006D70E3"/>
    <w:rPr>
      <w:rFonts w:ascii="Arial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B41C9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41C9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8F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8F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452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Qualcomm</cp:lastModifiedBy>
  <cp:revision>10</cp:revision>
  <dcterms:created xsi:type="dcterms:W3CDTF">2022-11-18T10:38:00Z</dcterms:created>
  <dcterms:modified xsi:type="dcterms:W3CDTF">2022-11-18T13:15:00Z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(2)K7vyT3B3xmCWjN0ITacnUXJxwvhaqbb3OWMjyJypImwGvo84CqfYQgsn9LB3IVodjsujB9gz
hxlO7ixk9Yt7isQmsV5jyRL3Cll2rWnl8RWNmFCOq81s63pdWfSoif+47AzN7CJFodPaiQZr
ZSB09qTvEobSP06ZfeqeuOmR4mcSaq8RpUfre1/0quPo4UPA2POThtQfF4Q0gUeWyJKrCkEo
Ai5uBFXHNt50i8Aodm</vt:lpwstr>
  </property>
  <property fmtid="{D5CDD505-2E9C-101B-9397-08002B2CF9AE}" pid="3" name="_2015_ms_pID_7253431">
    <vt:lpwstr>jRmEdQSFkyIAdoy0x3U0C3Z4Dg7VgMxFw1g3AqRRbfEN2/zJw5FFx6
rG82eO8+bFme7c7EhF1TxzdvkFhlob917qeqmHbg24GLL5KbsrzX9Ea+LcYUvT+S+XYwg6+1
lgPD8uzj1WlLpcZMqJOYfJ+Vy5exKi2ihenrN0pu+N7TqyfDBZlHe7QUCqhkODat3Td0H7SK
PdV+3DmRUDvqFAdX</vt:lpwstr>
  </property>
</Properties>
</file>